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E46" w:rsidRPr="007F1E46" w:rsidRDefault="007F1E46" w:rsidP="007F1E46">
      <w:pPr>
        <w:pStyle w:val="a3"/>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896F29">
        <w:rPr>
          <w:rFonts w:cs="Arial"/>
          <w:noProof w:val="0"/>
          <w:sz w:val="24"/>
          <w:szCs w:val="24"/>
        </w:rPr>
        <w:t>R4-2007317</w:t>
      </w:r>
    </w:p>
    <w:p w:rsidR="00DF0231" w:rsidRPr="007F1E46" w:rsidRDefault="007F1E46" w:rsidP="007F1E46">
      <w:pPr>
        <w:pStyle w:val="a3"/>
        <w:rPr>
          <w:rFonts w:eastAsia="宋体"/>
          <w:noProof w:val="0"/>
          <w:sz w:val="24"/>
          <w:szCs w:val="24"/>
          <w:lang w:eastAsia="zh-CN"/>
        </w:rPr>
      </w:pPr>
      <w:r w:rsidRPr="007F1E46">
        <w:rPr>
          <w:rFonts w:cs="Arial"/>
          <w:noProof w:val="0"/>
          <w:sz w:val="24"/>
          <w:szCs w:val="24"/>
        </w:rPr>
        <w:t>Electronic Meeting, 25 May – 5 June, 2020</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536">
        <w:rPr>
          <w:rFonts w:ascii="Arial" w:hAnsi="Arial"/>
          <w:sz w:val="24"/>
          <w:lang w:val="en-US"/>
        </w:rPr>
        <w:t>6.5.</w:t>
      </w:r>
      <w:r w:rsidR="00852431">
        <w:rPr>
          <w:rFonts w:ascii="Arial" w:hAnsi="Arial"/>
          <w:sz w:val="24"/>
          <w:lang w:val="en-US"/>
        </w:rPr>
        <w:t>1</w:t>
      </w:r>
      <w:r w:rsidR="00574536">
        <w:rPr>
          <w:rFonts w:ascii="Arial" w:hAnsi="Arial"/>
          <w:sz w:val="24"/>
          <w:lang w:val="en-US"/>
        </w:rPr>
        <w:t>.</w:t>
      </w:r>
      <w:r w:rsidR="00852431">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E7C66">
        <w:rPr>
          <w:rFonts w:ascii="Arial" w:hAnsi="Arial"/>
          <w:sz w:val="24"/>
          <w:lang w:val="en-US"/>
        </w:rPr>
        <w:t>Further d</w:t>
      </w:r>
      <w:r w:rsidR="0087326D">
        <w:rPr>
          <w:rFonts w:ascii="Arial" w:hAnsi="Arial"/>
          <w:sz w:val="24"/>
          <w:lang w:val="en-US"/>
        </w:rPr>
        <w:t>iscussion o</w:t>
      </w:r>
      <w:r w:rsidR="0087326D" w:rsidRPr="0020033A">
        <w:rPr>
          <w:rFonts w:ascii="Arial" w:hAnsi="Arial"/>
          <w:sz w:val="24"/>
          <w:lang w:val="en-US"/>
        </w:rPr>
        <w:t>n</w:t>
      </w:r>
      <w:r w:rsidR="004F0167">
        <w:rPr>
          <w:rFonts w:ascii="Arial" w:hAnsi="Arial"/>
          <w:sz w:val="24"/>
          <w:lang w:val="en-US"/>
        </w:rPr>
        <w:t xml:space="preserve"> </w:t>
      </w:r>
      <w:r w:rsidR="00852431">
        <w:rPr>
          <w:rFonts w:ascii="Arial" w:hAnsi="Arial"/>
          <w:sz w:val="24"/>
          <w:lang w:val="en-US"/>
        </w:rPr>
        <w:t>IAB-MT feature list</w:t>
      </w:r>
      <w:bookmarkStart w:id="0" w:name="_GoBack"/>
      <w:bookmarkEnd w:id="0"/>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52431" w:rsidRPr="00852431" w:rsidRDefault="00DF0231" w:rsidP="00DF0231">
      <w:pPr>
        <w:rPr>
          <w:rFonts w:eastAsiaTheme="minorEastAsia"/>
          <w:lang w:val="en-US" w:eastAsia="zh-CN"/>
        </w:rPr>
      </w:pPr>
      <w:r w:rsidRPr="002D2977">
        <w:rPr>
          <w:rFonts w:eastAsiaTheme="minorEastAsia"/>
          <w:lang w:val="en-US" w:eastAsia="zh-CN"/>
        </w:rPr>
        <w:t xml:space="preserve">In </w:t>
      </w:r>
      <w:r w:rsidR="009F06FB">
        <w:rPr>
          <w:rFonts w:eastAsiaTheme="minorEastAsia"/>
          <w:lang w:val="en-US" w:eastAsia="zh-CN"/>
        </w:rPr>
        <w:t>the</w:t>
      </w:r>
      <w:r w:rsidR="00852431">
        <w:rPr>
          <w:rFonts w:eastAsiaTheme="minorEastAsia"/>
          <w:lang w:val="en-US" w:eastAsia="zh-CN"/>
        </w:rPr>
        <w:t xml:space="preserve"> last RAN4#94-e-bis meeting, the feature lists of IAB-MT was discussed, and the agreements were captured in WF [1]. We further present our views about the remaining issues in this paper</w:t>
      </w:r>
    </w:p>
    <w:p w:rsidR="00DF0231" w:rsidRDefault="00DF0231" w:rsidP="00DF0231">
      <w:pPr>
        <w:pStyle w:val="1"/>
        <w:numPr>
          <w:ilvl w:val="0"/>
          <w:numId w:val="1"/>
        </w:numPr>
        <w:rPr>
          <w:lang w:val="en-US"/>
        </w:rPr>
      </w:pPr>
      <w:r w:rsidRPr="002D2977">
        <w:rPr>
          <w:lang w:val="en-US"/>
        </w:rPr>
        <w:t>Discussion</w:t>
      </w:r>
    </w:p>
    <w:p w:rsidR="0066187F" w:rsidRDefault="0066187F" w:rsidP="00873F09">
      <w:pPr>
        <w:rPr>
          <w:rFonts w:eastAsiaTheme="minorEastAsia"/>
          <w:b/>
          <w:lang w:eastAsia="zh-CN"/>
        </w:rPr>
      </w:pPr>
      <w:r>
        <w:rPr>
          <w:rFonts w:eastAsiaTheme="minorEastAsia" w:hint="eastAsia"/>
          <w:lang w:eastAsia="zh-CN"/>
        </w:rPr>
        <w:t>I</w:t>
      </w:r>
      <w:r>
        <w:rPr>
          <w:rFonts w:eastAsiaTheme="minorEastAsia"/>
          <w:lang w:eastAsia="zh-CN"/>
        </w:rPr>
        <w:t>n general we think the existing UE capabilities as captured in TS 38.306/38.331 and TR 38.822 were designed for UEs which are equipped in devices like smartphones, and some features are only useful for mobile phones. Some of features which are mandatory for legacy UEs may not be useful for IAB-MTs which is a network node. Implementing and testing this kind of mandatory features on IAB would require a lot of efforts for vendors and it would delay the commercialization of IAB.</w:t>
      </w:r>
      <w:r w:rsidR="00873F09">
        <w:rPr>
          <w:rFonts w:eastAsiaTheme="minorEastAsia"/>
          <w:lang w:eastAsia="zh-CN"/>
        </w:rPr>
        <w:t xml:space="preserve"> Hence we keep the position to minimize th</w:t>
      </w:r>
      <w:r w:rsidR="00873F09" w:rsidRPr="00873F09">
        <w:rPr>
          <w:rFonts w:eastAsiaTheme="minorEastAsia"/>
          <w:lang w:eastAsia="zh-CN"/>
        </w:rPr>
        <w:t xml:space="preserve">e </w:t>
      </w:r>
      <w:r w:rsidRPr="00873F09">
        <w:rPr>
          <w:rFonts w:eastAsiaTheme="minorEastAsia"/>
          <w:lang w:eastAsia="zh-CN"/>
        </w:rPr>
        <w:t>mandatory features for IAB-MT to support in order to speed up IAB industrialization and commercialization.</w:t>
      </w:r>
    </w:p>
    <w:p w:rsidR="0066187F" w:rsidRDefault="00873F09" w:rsidP="000A4ED3">
      <w:pPr>
        <w:rPr>
          <w:rFonts w:eastAsiaTheme="minorEastAsia"/>
          <w:lang w:eastAsia="zh-CN"/>
        </w:rPr>
      </w:pPr>
      <w:r>
        <w:rPr>
          <w:rFonts w:eastAsiaTheme="minorEastAsia"/>
          <w:lang w:eastAsia="zh-CN"/>
        </w:rPr>
        <w:t xml:space="preserve">For 1-2 ~ 1-5, </w:t>
      </w:r>
      <w:r w:rsidR="00322C7D">
        <w:rPr>
          <w:rFonts w:eastAsiaTheme="minorEastAsia"/>
          <w:lang w:eastAsia="zh-CN"/>
        </w:rPr>
        <w:t>as discussed, t</w:t>
      </w:r>
      <w:r w:rsidR="0066187F">
        <w:rPr>
          <w:rFonts w:eastAsiaTheme="minorEastAsia"/>
          <w:lang w:eastAsia="zh-CN"/>
        </w:rPr>
        <w:t xml:space="preserve">he same approach as DU should be adopted that the vendor declares the modulation scheme. </w:t>
      </w:r>
      <w:r w:rsidR="00322C7D">
        <w:rPr>
          <w:rFonts w:eastAsiaTheme="minorEastAsia"/>
          <w:lang w:eastAsia="zh-CN"/>
        </w:rPr>
        <w:t xml:space="preserve">As also agreed in the </w:t>
      </w:r>
      <w:proofErr w:type="gramStart"/>
      <w:r w:rsidR="00322C7D">
        <w:rPr>
          <w:rFonts w:eastAsiaTheme="minorEastAsia"/>
          <w:lang w:eastAsia="zh-CN"/>
        </w:rPr>
        <w:t>WF[</w:t>
      </w:r>
      <w:proofErr w:type="gramEnd"/>
      <w:r w:rsidR="00322C7D">
        <w:rPr>
          <w:rFonts w:eastAsiaTheme="minorEastAsia"/>
          <w:lang w:eastAsia="zh-CN"/>
        </w:rPr>
        <w:t>1], for the declared parameters, the parent/donor should be aware the capability of the MT</w:t>
      </w:r>
      <w:r w:rsidR="00061FDD">
        <w:rPr>
          <w:rFonts w:eastAsiaTheme="minorEastAsia"/>
          <w:lang w:eastAsia="zh-CN"/>
        </w:rPr>
        <w:t xml:space="preserve"> and the detail mechanism is up to RAN2 design. Hence</w:t>
      </w:r>
      <w:r w:rsidR="000A4ED3">
        <w:rPr>
          <w:rFonts w:eastAsiaTheme="minorEastAsia"/>
          <w:lang w:eastAsia="zh-CN"/>
        </w:rPr>
        <w:t xml:space="preserve"> it will be no issue for </w:t>
      </w:r>
      <w:r w:rsidR="00061FDD">
        <w:rPr>
          <w:rFonts w:eastAsiaTheme="minorEastAsia"/>
          <w:lang w:eastAsia="zh-CN"/>
        </w:rPr>
        <w:t>declaration</w:t>
      </w:r>
      <w:r w:rsidR="000A4ED3">
        <w:rPr>
          <w:rFonts w:eastAsiaTheme="minorEastAsia"/>
          <w:lang w:eastAsia="zh-CN"/>
        </w:rPr>
        <w:t xml:space="preserve"> on the support of highest modulation scheme.</w:t>
      </w:r>
    </w:p>
    <w:p w:rsidR="000A4ED3" w:rsidRDefault="000A4ED3" w:rsidP="000A4ED3">
      <w:pPr>
        <w:rPr>
          <w:rFonts w:eastAsiaTheme="minorEastAsia"/>
          <w:lang w:eastAsia="zh-CN"/>
        </w:rPr>
      </w:pPr>
      <w:r>
        <w:rPr>
          <w:rFonts w:eastAsiaTheme="minorEastAsia"/>
          <w:lang w:eastAsia="zh-CN"/>
        </w:rPr>
        <w:t>For 1-6 and 1-7, it was agreed that n</w:t>
      </w:r>
      <w:r w:rsidR="00223558" w:rsidRPr="000A4ED3">
        <w:rPr>
          <w:rFonts w:eastAsiaTheme="minorEastAsia"/>
          <w:lang w:eastAsia="zh-CN"/>
        </w:rPr>
        <w:t>o RAN4 requirements for pi/2 BSPK will be defined for IAB-MT in Rel-16.</w:t>
      </w:r>
      <w:r>
        <w:rPr>
          <w:rFonts w:eastAsiaTheme="minorEastAsia"/>
          <w:lang w:eastAsia="zh-CN"/>
        </w:rPr>
        <w:t xml:space="preserve"> IAB node is expected to deploy in good channel condition to achieve high spectrum efficiency. High order modulation is desired for IAB MT. There is no need to support </w:t>
      </w:r>
      <w:r w:rsidRPr="000A4ED3">
        <w:rPr>
          <w:rFonts w:eastAsiaTheme="minorEastAsia"/>
          <w:lang w:eastAsia="zh-CN"/>
        </w:rPr>
        <w:t>pi/2 BSPK</w:t>
      </w:r>
      <w:r>
        <w:rPr>
          <w:rFonts w:eastAsiaTheme="minorEastAsia"/>
          <w:lang w:eastAsia="zh-CN"/>
        </w:rPr>
        <w:t>.</w:t>
      </w:r>
    </w:p>
    <w:p w:rsidR="000A4ED3" w:rsidRDefault="000A4ED3" w:rsidP="000A4ED3">
      <w:pPr>
        <w:rPr>
          <w:rFonts w:eastAsiaTheme="minorEastAsia"/>
          <w:lang w:eastAsia="zh-CN"/>
        </w:rPr>
      </w:pPr>
      <w:r>
        <w:rPr>
          <w:rFonts w:eastAsiaTheme="minorEastAsia" w:hint="eastAsia"/>
          <w:lang w:eastAsia="zh-CN"/>
        </w:rPr>
        <w:t xml:space="preserve">For </w:t>
      </w:r>
      <w:r>
        <w:rPr>
          <w:rFonts w:eastAsiaTheme="minorEastAsia"/>
          <w:lang w:eastAsia="zh-CN"/>
        </w:rPr>
        <w:t>1-8 Active BWP switching delay, as discussed in the last meeting, it is to report either type 1 or type1 DCI-based BWP switching delay defined for UE. For other words, if there was only 1 type of delay for UE, there is no need to support the feature for UE. As discussed in RRM session, the DCI-based BWP switching rarely happens for IAB which is for the consideration of power saving for UE, and there is no BWP switching delay requirements for IAB. So there is no need to support this feature for IAB-MT.</w:t>
      </w:r>
    </w:p>
    <w:p w:rsidR="000A4ED3" w:rsidRDefault="000A4ED3" w:rsidP="000A4ED3">
      <w:pPr>
        <w:rPr>
          <w:rFonts w:eastAsiaTheme="minorEastAsia"/>
          <w:lang w:eastAsia="zh-CN"/>
        </w:rPr>
      </w:pPr>
      <w:r>
        <w:rPr>
          <w:rFonts w:eastAsiaTheme="minorEastAsia"/>
          <w:lang w:eastAsia="zh-CN"/>
        </w:rPr>
        <w:t xml:space="preserve">For </w:t>
      </w:r>
      <w:r w:rsidRPr="000A4ED3">
        <w:rPr>
          <w:rFonts w:eastAsiaTheme="minorEastAsia"/>
          <w:lang w:eastAsia="zh-CN"/>
        </w:rPr>
        <w:t>CA and EN-DC support related features</w:t>
      </w:r>
      <w:r>
        <w:rPr>
          <w:rFonts w:eastAsiaTheme="minorEastAsia"/>
          <w:lang w:eastAsia="zh-CN"/>
        </w:rPr>
        <w:t>, we agree to be further discussed when CA and EN-DC support framework is clear.</w:t>
      </w:r>
    </w:p>
    <w:p w:rsidR="000A4ED3" w:rsidRPr="000A4ED3" w:rsidRDefault="000704D3" w:rsidP="000A4ED3">
      <w:pPr>
        <w:tabs>
          <w:tab w:val="num" w:pos="720"/>
        </w:tabs>
        <w:spacing w:after="0"/>
        <w:jc w:val="both"/>
        <w:rPr>
          <w:rFonts w:eastAsiaTheme="minorEastAsia"/>
          <w:lang w:val="en-US" w:eastAsia="zh-CN"/>
        </w:rPr>
      </w:pPr>
      <w:r>
        <w:rPr>
          <w:rFonts w:eastAsiaTheme="minorEastAsia"/>
          <w:lang w:eastAsia="zh-CN"/>
        </w:rPr>
        <w:t>For 2-10 and 2-11, the two feature are applicable for the roaming UE. For IAB MT it is not necessary since it is deployed by the operator and the requirements should be known beforehand. For 2-</w:t>
      </w:r>
      <w:r w:rsidR="0013657C">
        <w:rPr>
          <w:rFonts w:eastAsiaTheme="minorEastAsia"/>
          <w:lang w:eastAsia="zh-CN"/>
        </w:rPr>
        <w:t>13 ~ 2-14, it is also nor needed.</w:t>
      </w:r>
    </w:p>
    <w:p w:rsidR="000A4ED3" w:rsidRPr="000A4ED3" w:rsidRDefault="000A4ED3" w:rsidP="0066187F">
      <w:pPr>
        <w:spacing w:after="0"/>
        <w:jc w:val="both"/>
        <w:rPr>
          <w:rFonts w:eastAsiaTheme="minorEastAsia"/>
          <w:lang w:val="en-US" w:eastAsia="zh-CN"/>
        </w:rPr>
      </w:pPr>
    </w:p>
    <w:p w:rsidR="00852431" w:rsidRPr="00B738C2" w:rsidRDefault="00D8353D" w:rsidP="001F2AE4">
      <w:pPr>
        <w:rPr>
          <w:rFonts w:eastAsiaTheme="minorEastAsia"/>
          <w:lang w:eastAsia="zh-CN"/>
        </w:rPr>
      </w:pPr>
      <w:r>
        <w:rPr>
          <w:rFonts w:eastAsiaTheme="minorEastAsia"/>
          <w:lang w:eastAsia="zh-CN"/>
        </w:rPr>
        <w:t xml:space="preserve">For feature 3-1, 3-2 and 3-3, which are related to measurement. Due to the </w:t>
      </w:r>
      <w:r w:rsidRPr="00D8353D">
        <w:rPr>
          <w:rFonts w:eastAsiaTheme="minorEastAsia"/>
          <w:lang w:eastAsia="zh-CN"/>
        </w:rPr>
        <w:t>immobility</w:t>
      </w:r>
      <w:r>
        <w:rPr>
          <w:rFonts w:eastAsiaTheme="minorEastAsia"/>
          <w:lang w:eastAsia="zh-CN"/>
        </w:rPr>
        <w:t xml:space="preserve">, there is also no need to </w:t>
      </w:r>
      <w:r w:rsidR="00325283">
        <w:rPr>
          <w:rFonts w:eastAsiaTheme="minorEastAsia"/>
          <w:lang w:eastAsia="zh-CN"/>
        </w:rPr>
        <w:t>support these</w:t>
      </w:r>
      <w:r>
        <w:rPr>
          <w:rFonts w:eastAsiaTheme="minorEastAsia"/>
          <w:lang w:eastAsia="zh-CN"/>
        </w:rPr>
        <w:t xml:space="preserve"> features as least for wide-area IAB-MT.</w:t>
      </w:r>
    </w:p>
    <w:p w:rsidR="0050339C" w:rsidRDefault="0050339C" w:rsidP="0050339C">
      <w:pPr>
        <w:pStyle w:val="1"/>
        <w:numPr>
          <w:ilvl w:val="0"/>
          <w:numId w:val="1"/>
        </w:numPr>
        <w:rPr>
          <w:lang w:val="en-US"/>
        </w:rPr>
      </w:pPr>
      <w:r>
        <w:rPr>
          <w:lang w:val="en-US"/>
        </w:rPr>
        <w:t>Conclusion</w:t>
      </w:r>
    </w:p>
    <w:p w:rsidR="00852431" w:rsidRPr="0013657C" w:rsidRDefault="0013657C" w:rsidP="00BA0200">
      <w:pPr>
        <w:rPr>
          <w:rFonts w:eastAsiaTheme="minorEastAsia"/>
          <w:lang w:eastAsia="zh-CN"/>
        </w:rPr>
      </w:pPr>
      <w:r>
        <w:rPr>
          <w:rFonts w:eastAsiaTheme="minorEastAsia"/>
          <w:lang w:eastAsia="zh-CN"/>
        </w:rPr>
        <w:t>The paper discusses the remaining issues for IAB-MT feature list</w:t>
      </w:r>
      <w:r w:rsidR="004E7C66">
        <w:rPr>
          <w:rFonts w:eastAsiaTheme="minorEastAsia"/>
          <w:lang w:eastAsia="zh-CN"/>
        </w:rPr>
        <w:t xml:space="preserve"> and </w:t>
      </w:r>
      <w:r w:rsidR="004E7C66">
        <w:rPr>
          <w:rFonts w:eastAsiaTheme="minorEastAsia"/>
          <w:lang w:val="en-US" w:eastAsia="zh-CN"/>
        </w:rPr>
        <w:t>provides our views for related features.</w:t>
      </w:r>
    </w:p>
    <w:p w:rsidR="00DF0231" w:rsidRPr="002D2977" w:rsidRDefault="00DF0231" w:rsidP="00DF0231">
      <w:pPr>
        <w:pStyle w:val="1"/>
        <w:tabs>
          <w:tab w:val="clear" w:pos="432"/>
        </w:tabs>
        <w:ind w:left="0" w:firstLine="0"/>
        <w:rPr>
          <w:lang w:val="en-US"/>
        </w:rPr>
      </w:pPr>
      <w:r w:rsidRPr="002D2977">
        <w:rPr>
          <w:lang w:val="en-US"/>
        </w:rPr>
        <w:t>References</w:t>
      </w:r>
    </w:p>
    <w:p w:rsidR="00852431" w:rsidRPr="00852431" w:rsidRDefault="00DF0231" w:rsidP="00852431">
      <w:pPr>
        <w:rPr>
          <w:lang w:val="en-US"/>
        </w:rPr>
      </w:pPr>
      <w:r w:rsidRPr="002D2977">
        <w:rPr>
          <w:lang w:val="en-US"/>
        </w:rPr>
        <w:t xml:space="preserve">[1] </w:t>
      </w:r>
      <w:r w:rsidR="006165CB">
        <w:rPr>
          <w:lang w:val="en-US"/>
        </w:rPr>
        <w:t>R4-2005606</w:t>
      </w:r>
      <w:r w:rsidR="007F1E46">
        <w:rPr>
          <w:lang w:val="en-US"/>
        </w:rPr>
        <w:t xml:space="preserve">, </w:t>
      </w:r>
      <w:r w:rsidR="00852431" w:rsidRPr="00852431">
        <w:t>WF on IAB-MT Features</w:t>
      </w:r>
      <w:r w:rsidR="00852431">
        <w:t xml:space="preserve">, </w:t>
      </w:r>
      <w:r w:rsidR="00852431" w:rsidRPr="00852431">
        <w:rPr>
          <w:lang w:val="en-US"/>
        </w:rPr>
        <w:t>Qualcomm Incorporated</w:t>
      </w:r>
    </w:p>
    <w:p w:rsidR="007D0DF7" w:rsidRDefault="007D0DF7" w:rsidP="007B692E"/>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09A" w:rsidRDefault="00FB309A">
      <w:pPr>
        <w:spacing w:after="0"/>
      </w:pPr>
      <w:r>
        <w:separator/>
      </w:r>
    </w:p>
  </w:endnote>
  <w:endnote w:type="continuationSeparator" w:id="0">
    <w:p w:rsidR="00FB309A" w:rsidRDefault="00FB3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96F29">
      <w:rPr>
        <w:rStyle w:val="a5"/>
      </w:rPr>
      <w:t>1</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09A" w:rsidRDefault="00FB309A">
      <w:pPr>
        <w:spacing w:after="0"/>
      </w:pPr>
      <w:r>
        <w:separator/>
      </w:r>
    </w:p>
  </w:footnote>
  <w:footnote w:type="continuationSeparator" w:id="0">
    <w:p w:rsidR="00FB309A" w:rsidRDefault="00FB30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237E6"/>
    <w:multiLevelType w:val="hybridMultilevel"/>
    <w:tmpl w:val="8402AE92"/>
    <w:lvl w:ilvl="0" w:tplc="ABB49BE4">
      <w:start w:val="1"/>
      <w:numFmt w:val="bullet"/>
      <w:lvlText w:val="•"/>
      <w:lvlJc w:val="left"/>
      <w:pPr>
        <w:tabs>
          <w:tab w:val="num" w:pos="720"/>
        </w:tabs>
        <w:ind w:left="720" w:hanging="360"/>
      </w:pPr>
      <w:rPr>
        <w:rFonts w:ascii="Arial" w:hAnsi="Arial" w:hint="default"/>
      </w:rPr>
    </w:lvl>
    <w:lvl w:ilvl="1" w:tplc="26CA8348">
      <w:numFmt w:val="bullet"/>
      <w:lvlText w:val="–"/>
      <w:lvlJc w:val="left"/>
      <w:pPr>
        <w:tabs>
          <w:tab w:val="num" w:pos="1440"/>
        </w:tabs>
        <w:ind w:left="1440" w:hanging="360"/>
      </w:pPr>
      <w:rPr>
        <w:rFonts w:ascii="Arial" w:hAnsi="Arial" w:hint="default"/>
      </w:rPr>
    </w:lvl>
    <w:lvl w:ilvl="2" w:tplc="DBE8E200" w:tentative="1">
      <w:start w:val="1"/>
      <w:numFmt w:val="bullet"/>
      <w:lvlText w:val="•"/>
      <w:lvlJc w:val="left"/>
      <w:pPr>
        <w:tabs>
          <w:tab w:val="num" w:pos="2160"/>
        </w:tabs>
        <w:ind w:left="2160" w:hanging="360"/>
      </w:pPr>
      <w:rPr>
        <w:rFonts w:ascii="Arial" w:hAnsi="Arial" w:hint="default"/>
      </w:rPr>
    </w:lvl>
    <w:lvl w:ilvl="3" w:tplc="96F235BC" w:tentative="1">
      <w:start w:val="1"/>
      <w:numFmt w:val="bullet"/>
      <w:lvlText w:val="•"/>
      <w:lvlJc w:val="left"/>
      <w:pPr>
        <w:tabs>
          <w:tab w:val="num" w:pos="2880"/>
        </w:tabs>
        <w:ind w:left="2880" w:hanging="360"/>
      </w:pPr>
      <w:rPr>
        <w:rFonts w:ascii="Arial" w:hAnsi="Arial" w:hint="default"/>
      </w:rPr>
    </w:lvl>
    <w:lvl w:ilvl="4" w:tplc="FB8EFAAE" w:tentative="1">
      <w:start w:val="1"/>
      <w:numFmt w:val="bullet"/>
      <w:lvlText w:val="•"/>
      <w:lvlJc w:val="left"/>
      <w:pPr>
        <w:tabs>
          <w:tab w:val="num" w:pos="3600"/>
        </w:tabs>
        <w:ind w:left="3600" w:hanging="360"/>
      </w:pPr>
      <w:rPr>
        <w:rFonts w:ascii="Arial" w:hAnsi="Arial" w:hint="default"/>
      </w:rPr>
    </w:lvl>
    <w:lvl w:ilvl="5" w:tplc="6FDEFBC2" w:tentative="1">
      <w:start w:val="1"/>
      <w:numFmt w:val="bullet"/>
      <w:lvlText w:val="•"/>
      <w:lvlJc w:val="left"/>
      <w:pPr>
        <w:tabs>
          <w:tab w:val="num" w:pos="4320"/>
        </w:tabs>
        <w:ind w:left="4320" w:hanging="360"/>
      </w:pPr>
      <w:rPr>
        <w:rFonts w:ascii="Arial" w:hAnsi="Arial" w:hint="default"/>
      </w:rPr>
    </w:lvl>
    <w:lvl w:ilvl="6" w:tplc="CE52DE10" w:tentative="1">
      <w:start w:val="1"/>
      <w:numFmt w:val="bullet"/>
      <w:lvlText w:val="•"/>
      <w:lvlJc w:val="left"/>
      <w:pPr>
        <w:tabs>
          <w:tab w:val="num" w:pos="5040"/>
        </w:tabs>
        <w:ind w:left="5040" w:hanging="360"/>
      </w:pPr>
      <w:rPr>
        <w:rFonts w:ascii="Arial" w:hAnsi="Arial" w:hint="default"/>
      </w:rPr>
    </w:lvl>
    <w:lvl w:ilvl="7" w:tplc="8ABA7AE8" w:tentative="1">
      <w:start w:val="1"/>
      <w:numFmt w:val="bullet"/>
      <w:lvlText w:val="•"/>
      <w:lvlJc w:val="left"/>
      <w:pPr>
        <w:tabs>
          <w:tab w:val="num" w:pos="5760"/>
        </w:tabs>
        <w:ind w:left="5760" w:hanging="360"/>
      </w:pPr>
      <w:rPr>
        <w:rFonts w:ascii="Arial" w:hAnsi="Arial" w:hint="default"/>
      </w:rPr>
    </w:lvl>
    <w:lvl w:ilvl="8" w:tplc="BB94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6D6612"/>
    <w:multiLevelType w:val="hybridMultilevel"/>
    <w:tmpl w:val="0BC0076C"/>
    <w:lvl w:ilvl="0" w:tplc="11622EEE">
      <w:start w:val="1"/>
      <w:numFmt w:val="bullet"/>
      <w:lvlText w:val="•"/>
      <w:lvlJc w:val="left"/>
      <w:pPr>
        <w:tabs>
          <w:tab w:val="num" w:pos="720"/>
        </w:tabs>
        <w:ind w:left="720" w:hanging="360"/>
      </w:pPr>
      <w:rPr>
        <w:rFonts w:ascii="Arial" w:hAnsi="Arial" w:hint="default"/>
      </w:rPr>
    </w:lvl>
    <w:lvl w:ilvl="1" w:tplc="D172B67C" w:tentative="1">
      <w:start w:val="1"/>
      <w:numFmt w:val="bullet"/>
      <w:lvlText w:val="•"/>
      <w:lvlJc w:val="left"/>
      <w:pPr>
        <w:tabs>
          <w:tab w:val="num" w:pos="1440"/>
        </w:tabs>
        <w:ind w:left="1440" w:hanging="360"/>
      </w:pPr>
      <w:rPr>
        <w:rFonts w:ascii="Arial" w:hAnsi="Arial" w:hint="default"/>
      </w:rPr>
    </w:lvl>
    <w:lvl w:ilvl="2" w:tplc="589024D8" w:tentative="1">
      <w:start w:val="1"/>
      <w:numFmt w:val="bullet"/>
      <w:lvlText w:val="•"/>
      <w:lvlJc w:val="left"/>
      <w:pPr>
        <w:tabs>
          <w:tab w:val="num" w:pos="2160"/>
        </w:tabs>
        <w:ind w:left="2160" w:hanging="360"/>
      </w:pPr>
      <w:rPr>
        <w:rFonts w:ascii="Arial" w:hAnsi="Arial" w:hint="default"/>
      </w:rPr>
    </w:lvl>
    <w:lvl w:ilvl="3" w:tplc="BA2A7554" w:tentative="1">
      <w:start w:val="1"/>
      <w:numFmt w:val="bullet"/>
      <w:lvlText w:val="•"/>
      <w:lvlJc w:val="left"/>
      <w:pPr>
        <w:tabs>
          <w:tab w:val="num" w:pos="2880"/>
        </w:tabs>
        <w:ind w:left="2880" w:hanging="360"/>
      </w:pPr>
      <w:rPr>
        <w:rFonts w:ascii="Arial" w:hAnsi="Arial" w:hint="default"/>
      </w:rPr>
    </w:lvl>
    <w:lvl w:ilvl="4" w:tplc="717CFAA4" w:tentative="1">
      <w:start w:val="1"/>
      <w:numFmt w:val="bullet"/>
      <w:lvlText w:val="•"/>
      <w:lvlJc w:val="left"/>
      <w:pPr>
        <w:tabs>
          <w:tab w:val="num" w:pos="3600"/>
        </w:tabs>
        <w:ind w:left="3600" w:hanging="360"/>
      </w:pPr>
      <w:rPr>
        <w:rFonts w:ascii="Arial" w:hAnsi="Arial" w:hint="default"/>
      </w:rPr>
    </w:lvl>
    <w:lvl w:ilvl="5" w:tplc="1200112E" w:tentative="1">
      <w:start w:val="1"/>
      <w:numFmt w:val="bullet"/>
      <w:lvlText w:val="•"/>
      <w:lvlJc w:val="left"/>
      <w:pPr>
        <w:tabs>
          <w:tab w:val="num" w:pos="4320"/>
        </w:tabs>
        <w:ind w:left="4320" w:hanging="360"/>
      </w:pPr>
      <w:rPr>
        <w:rFonts w:ascii="Arial" w:hAnsi="Arial" w:hint="default"/>
      </w:rPr>
    </w:lvl>
    <w:lvl w:ilvl="6" w:tplc="4EBABE5C" w:tentative="1">
      <w:start w:val="1"/>
      <w:numFmt w:val="bullet"/>
      <w:lvlText w:val="•"/>
      <w:lvlJc w:val="left"/>
      <w:pPr>
        <w:tabs>
          <w:tab w:val="num" w:pos="5040"/>
        </w:tabs>
        <w:ind w:left="5040" w:hanging="360"/>
      </w:pPr>
      <w:rPr>
        <w:rFonts w:ascii="Arial" w:hAnsi="Arial" w:hint="default"/>
      </w:rPr>
    </w:lvl>
    <w:lvl w:ilvl="7" w:tplc="48683AC0" w:tentative="1">
      <w:start w:val="1"/>
      <w:numFmt w:val="bullet"/>
      <w:lvlText w:val="•"/>
      <w:lvlJc w:val="left"/>
      <w:pPr>
        <w:tabs>
          <w:tab w:val="num" w:pos="5760"/>
        </w:tabs>
        <w:ind w:left="5760" w:hanging="360"/>
      </w:pPr>
      <w:rPr>
        <w:rFonts w:ascii="Arial" w:hAnsi="Arial" w:hint="default"/>
      </w:rPr>
    </w:lvl>
    <w:lvl w:ilvl="8" w:tplc="65E68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18" w15:restartNumberingAfterBreak="0">
    <w:nsid w:val="7EC937D7"/>
    <w:multiLevelType w:val="hybridMultilevel"/>
    <w:tmpl w:val="E0629600"/>
    <w:lvl w:ilvl="0" w:tplc="EA823866">
      <w:start w:val="1"/>
      <w:numFmt w:val="bullet"/>
      <w:lvlText w:val="•"/>
      <w:lvlJc w:val="left"/>
      <w:pPr>
        <w:tabs>
          <w:tab w:val="num" w:pos="720"/>
        </w:tabs>
        <w:ind w:left="720" w:hanging="360"/>
      </w:pPr>
      <w:rPr>
        <w:rFonts w:ascii="Arial" w:hAnsi="Arial" w:hint="default"/>
      </w:rPr>
    </w:lvl>
    <w:lvl w:ilvl="1" w:tplc="139A7DCA" w:tentative="1">
      <w:start w:val="1"/>
      <w:numFmt w:val="bullet"/>
      <w:lvlText w:val="•"/>
      <w:lvlJc w:val="left"/>
      <w:pPr>
        <w:tabs>
          <w:tab w:val="num" w:pos="1440"/>
        </w:tabs>
        <w:ind w:left="1440" w:hanging="360"/>
      </w:pPr>
      <w:rPr>
        <w:rFonts w:ascii="Arial" w:hAnsi="Arial" w:hint="default"/>
      </w:rPr>
    </w:lvl>
    <w:lvl w:ilvl="2" w:tplc="4CDE5EAE" w:tentative="1">
      <w:start w:val="1"/>
      <w:numFmt w:val="bullet"/>
      <w:lvlText w:val="•"/>
      <w:lvlJc w:val="left"/>
      <w:pPr>
        <w:tabs>
          <w:tab w:val="num" w:pos="2160"/>
        </w:tabs>
        <w:ind w:left="2160" w:hanging="360"/>
      </w:pPr>
      <w:rPr>
        <w:rFonts w:ascii="Arial" w:hAnsi="Arial" w:hint="default"/>
      </w:rPr>
    </w:lvl>
    <w:lvl w:ilvl="3" w:tplc="CD0006AA" w:tentative="1">
      <w:start w:val="1"/>
      <w:numFmt w:val="bullet"/>
      <w:lvlText w:val="•"/>
      <w:lvlJc w:val="left"/>
      <w:pPr>
        <w:tabs>
          <w:tab w:val="num" w:pos="2880"/>
        </w:tabs>
        <w:ind w:left="2880" w:hanging="360"/>
      </w:pPr>
      <w:rPr>
        <w:rFonts w:ascii="Arial" w:hAnsi="Arial" w:hint="default"/>
      </w:rPr>
    </w:lvl>
    <w:lvl w:ilvl="4" w:tplc="04C67540" w:tentative="1">
      <w:start w:val="1"/>
      <w:numFmt w:val="bullet"/>
      <w:lvlText w:val="•"/>
      <w:lvlJc w:val="left"/>
      <w:pPr>
        <w:tabs>
          <w:tab w:val="num" w:pos="3600"/>
        </w:tabs>
        <w:ind w:left="3600" w:hanging="360"/>
      </w:pPr>
      <w:rPr>
        <w:rFonts w:ascii="Arial" w:hAnsi="Arial" w:hint="default"/>
      </w:rPr>
    </w:lvl>
    <w:lvl w:ilvl="5" w:tplc="73029D22" w:tentative="1">
      <w:start w:val="1"/>
      <w:numFmt w:val="bullet"/>
      <w:lvlText w:val="•"/>
      <w:lvlJc w:val="left"/>
      <w:pPr>
        <w:tabs>
          <w:tab w:val="num" w:pos="4320"/>
        </w:tabs>
        <w:ind w:left="4320" w:hanging="360"/>
      </w:pPr>
      <w:rPr>
        <w:rFonts w:ascii="Arial" w:hAnsi="Arial" w:hint="default"/>
      </w:rPr>
    </w:lvl>
    <w:lvl w:ilvl="6" w:tplc="A0FED356" w:tentative="1">
      <w:start w:val="1"/>
      <w:numFmt w:val="bullet"/>
      <w:lvlText w:val="•"/>
      <w:lvlJc w:val="left"/>
      <w:pPr>
        <w:tabs>
          <w:tab w:val="num" w:pos="5040"/>
        </w:tabs>
        <w:ind w:left="5040" w:hanging="360"/>
      </w:pPr>
      <w:rPr>
        <w:rFonts w:ascii="Arial" w:hAnsi="Arial" w:hint="default"/>
      </w:rPr>
    </w:lvl>
    <w:lvl w:ilvl="7" w:tplc="460A557E" w:tentative="1">
      <w:start w:val="1"/>
      <w:numFmt w:val="bullet"/>
      <w:lvlText w:val="•"/>
      <w:lvlJc w:val="left"/>
      <w:pPr>
        <w:tabs>
          <w:tab w:val="num" w:pos="5760"/>
        </w:tabs>
        <w:ind w:left="5760" w:hanging="360"/>
      </w:pPr>
      <w:rPr>
        <w:rFonts w:ascii="Arial" w:hAnsi="Arial" w:hint="default"/>
      </w:rPr>
    </w:lvl>
    <w:lvl w:ilvl="8" w:tplc="2B8E5E8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15"/>
  </w:num>
  <w:num w:numId="4">
    <w:abstractNumId w:val="17"/>
  </w:num>
  <w:num w:numId="5">
    <w:abstractNumId w:val="13"/>
  </w:num>
  <w:num w:numId="6">
    <w:abstractNumId w:val="7"/>
  </w:num>
  <w:num w:numId="7">
    <w:abstractNumId w:val="12"/>
  </w:num>
  <w:num w:numId="8">
    <w:abstractNumId w:val="3"/>
  </w:num>
  <w:num w:numId="9">
    <w:abstractNumId w:val="6"/>
  </w:num>
  <w:num w:numId="10">
    <w:abstractNumId w:val="4"/>
  </w:num>
  <w:num w:numId="11">
    <w:abstractNumId w:val="8"/>
  </w:num>
  <w:num w:numId="12">
    <w:abstractNumId w:val="9"/>
  </w:num>
  <w:num w:numId="13">
    <w:abstractNumId w:val="11"/>
  </w:num>
  <w:num w:numId="14">
    <w:abstractNumId w:val="1"/>
  </w:num>
  <w:num w:numId="15">
    <w:abstractNumId w:val="2"/>
  </w:num>
  <w:num w:numId="16">
    <w:abstractNumId w:val="14"/>
  </w:num>
  <w:num w:numId="17">
    <w:abstractNumId w:val="5"/>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1FDD"/>
    <w:rsid w:val="00063E08"/>
    <w:rsid w:val="00067B89"/>
    <w:rsid w:val="000704D3"/>
    <w:rsid w:val="000A2ED7"/>
    <w:rsid w:val="000A4BCB"/>
    <w:rsid w:val="000A4ED3"/>
    <w:rsid w:val="000D2930"/>
    <w:rsid w:val="000E2C03"/>
    <w:rsid w:val="00100360"/>
    <w:rsid w:val="0013657C"/>
    <w:rsid w:val="00187A32"/>
    <w:rsid w:val="00192DA7"/>
    <w:rsid w:val="001E7174"/>
    <w:rsid w:val="001F2AE4"/>
    <w:rsid w:val="0020033A"/>
    <w:rsid w:val="002129CD"/>
    <w:rsid w:val="002221AC"/>
    <w:rsid w:val="00222D7E"/>
    <w:rsid w:val="00223558"/>
    <w:rsid w:val="002328DD"/>
    <w:rsid w:val="00254F38"/>
    <w:rsid w:val="00282D3C"/>
    <w:rsid w:val="002A5E54"/>
    <w:rsid w:val="002B45C3"/>
    <w:rsid w:val="002E668C"/>
    <w:rsid w:val="002F579F"/>
    <w:rsid w:val="00311CF9"/>
    <w:rsid w:val="00322C7D"/>
    <w:rsid w:val="00325283"/>
    <w:rsid w:val="00336939"/>
    <w:rsid w:val="00356FB6"/>
    <w:rsid w:val="003664ED"/>
    <w:rsid w:val="003A5E2B"/>
    <w:rsid w:val="003F37DD"/>
    <w:rsid w:val="003F37F1"/>
    <w:rsid w:val="003F5BF9"/>
    <w:rsid w:val="003F762D"/>
    <w:rsid w:val="00406810"/>
    <w:rsid w:val="00430F24"/>
    <w:rsid w:val="00435EBD"/>
    <w:rsid w:val="00466D02"/>
    <w:rsid w:val="00477263"/>
    <w:rsid w:val="00490A38"/>
    <w:rsid w:val="0049501A"/>
    <w:rsid w:val="004A678E"/>
    <w:rsid w:val="004A7CF2"/>
    <w:rsid w:val="004B3374"/>
    <w:rsid w:val="004C4868"/>
    <w:rsid w:val="004E0927"/>
    <w:rsid w:val="004E7C66"/>
    <w:rsid w:val="004F0167"/>
    <w:rsid w:val="0050339C"/>
    <w:rsid w:val="005235DB"/>
    <w:rsid w:val="00530EB0"/>
    <w:rsid w:val="005449A0"/>
    <w:rsid w:val="00545EC2"/>
    <w:rsid w:val="0054734A"/>
    <w:rsid w:val="00574536"/>
    <w:rsid w:val="005F5231"/>
    <w:rsid w:val="0061475E"/>
    <w:rsid w:val="006165CB"/>
    <w:rsid w:val="0066187F"/>
    <w:rsid w:val="006A7217"/>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1E46"/>
    <w:rsid w:val="007F2E6A"/>
    <w:rsid w:val="00803073"/>
    <w:rsid w:val="00804945"/>
    <w:rsid w:val="008446CE"/>
    <w:rsid w:val="00852431"/>
    <w:rsid w:val="00865708"/>
    <w:rsid w:val="00865DAD"/>
    <w:rsid w:val="0087326D"/>
    <w:rsid w:val="00873C1C"/>
    <w:rsid w:val="00873F09"/>
    <w:rsid w:val="00892EAE"/>
    <w:rsid w:val="00896F29"/>
    <w:rsid w:val="008A1C4E"/>
    <w:rsid w:val="008B4F73"/>
    <w:rsid w:val="008D2271"/>
    <w:rsid w:val="008D3137"/>
    <w:rsid w:val="008D55C5"/>
    <w:rsid w:val="008E2591"/>
    <w:rsid w:val="008E4053"/>
    <w:rsid w:val="00914A03"/>
    <w:rsid w:val="009450D8"/>
    <w:rsid w:val="00951825"/>
    <w:rsid w:val="009708D0"/>
    <w:rsid w:val="00985077"/>
    <w:rsid w:val="009968CF"/>
    <w:rsid w:val="009C4E39"/>
    <w:rsid w:val="009C7D5E"/>
    <w:rsid w:val="009D03C6"/>
    <w:rsid w:val="009D2942"/>
    <w:rsid w:val="009E6763"/>
    <w:rsid w:val="009E6DC8"/>
    <w:rsid w:val="009F06FB"/>
    <w:rsid w:val="00A1597D"/>
    <w:rsid w:val="00A22790"/>
    <w:rsid w:val="00A26AB0"/>
    <w:rsid w:val="00A42E3A"/>
    <w:rsid w:val="00A90E6D"/>
    <w:rsid w:val="00AC2C97"/>
    <w:rsid w:val="00AD69AA"/>
    <w:rsid w:val="00AE6BE0"/>
    <w:rsid w:val="00AF0E37"/>
    <w:rsid w:val="00AF5966"/>
    <w:rsid w:val="00B10C6E"/>
    <w:rsid w:val="00B23292"/>
    <w:rsid w:val="00B41E6D"/>
    <w:rsid w:val="00B474B6"/>
    <w:rsid w:val="00B53963"/>
    <w:rsid w:val="00B738C2"/>
    <w:rsid w:val="00B73A82"/>
    <w:rsid w:val="00BA0200"/>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41D2D"/>
    <w:rsid w:val="00D8353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B309A"/>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R4_bullets,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91883">
      <w:bodyDiv w:val="1"/>
      <w:marLeft w:val="0"/>
      <w:marRight w:val="0"/>
      <w:marTop w:val="0"/>
      <w:marBottom w:val="0"/>
      <w:divBdr>
        <w:top w:val="none" w:sz="0" w:space="0" w:color="auto"/>
        <w:left w:val="none" w:sz="0" w:space="0" w:color="auto"/>
        <w:bottom w:val="none" w:sz="0" w:space="0" w:color="auto"/>
        <w:right w:val="none" w:sz="0" w:space="0" w:color="auto"/>
      </w:divBdr>
    </w:div>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63803196">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92516250">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4302551">
      <w:bodyDiv w:val="1"/>
      <w:marLeft w:val="0"/>
      <w:marRight w:val="0"/>
      <w:marTop w:val="0"/>
      <w:marBottom w:val="0"/>
      <w:divBdr>
        <w:top w:val="none" w:sz="0" w:space="0" w:color="auto"/>
        <w:left w:val="none" w:sz="0" w:space="0" w:color="auto"/>
        <w:bottom w:val="none" w:sz="0" w:space="0" w:color="auto"/>
        <w:right w:val="none" w:sz="0" w:space="0" w:color="auto"/>
      </w:divBdr>
      <w:divsChild>
        <w:div w:id="2006321602">
          <w:marLeft w:val="547"/>
          <w:marRight w:val="0"/>
          <w:marTop w:val="134"/>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75780069">
      <w:bodyDiv w:val="1"/>
      <w:marLeft w:val="0"/>
      <w:marRight w:val="0"/>
      <w:marTop w:val="0"/>
      <w:marBottom w:val="0"/>
      <w:divBdr>
        <w:top w:val="none" w:sz="0" w:space="0" w:color="auto"/>
        <w:left w:val="none" w:sz="0" w:space="0" w:color="auto"/>
        <w:bottom w:val="none" w:sz="0" w:space="0" w:color="auto"/>
        <w:right w:val="none" w:sz="0" w:space="0" w:color="auto"/>
      </w:divBdr>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34782071">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17614557">
      <w:bodyDiv w:val="1"/>
      <w:marLeft w:val="0"/>
      <w:marRight w:val="0"/>
      <w:marTop w:val="0"/>
      <w:marBottom w:val="0"/>
      <w:divBdr>
        <w:top w:val="none" w:sz="0" w:space="0" w:color="auto"/>
        <w:left w:val="none" w:sz="0" w:space="0" w:color="auto"/>
        <w:bottom w:val="none" w:sz="0" w:space="0" w:color="auto"/>
        <w:right w:val="none" w:sz="0" w:space="0" w:color="auto"/>
      </w:divBdr>
      <w:divsChild>
        <w:div w:id="698701343">
          <w:marLeft w:val="547"/>
          <w:marRight w:val="0"/>
          <w:marTop w:val="134"/>
          <w:marBottom w:val="0"/>
          <w:divBdr>
            <w:top w:val="none" w:sz="0" w:space="0" w:color="auto"/>
            <w:left w:val="none" w:sz="0" w:space="0" w:color="auto"/>
            <w:bottom w:val="none" w:sz="0" w:space="0" w:color="auto"/>
            <w:right w:val="none" w:sz="0" w:space="0" w:color="auto"/>
          </w:divBdr>
        </w:div>
        <w:div w:id="930548914">
          <w:marLeft w:val="1166"/>
          <w:marRight w:val="0"/>
          <w:marTop w:val="118"/>
          <w:marBottom w:val="0"/>
          <w:divBdr>
            <w:top w:val="none" w:sz="0" w:space="0" w:color="auto"/>
            <w:left w:val="none" w:sz="0" w:space="0" w:color="auto"/>
            <w:bottom w:val="none" w:sz="0" w:space="0" w:color="auto"/>
            <w:right w:val="none" w:sz="0" w:space="0" w:color="auto"/>
          </w:divBdr>
        </w:div>
        <w:div w:id="878395012">
          <w:marLeft w:val="1166"/>
          <w:marRight w:val="0"/>
          <w:marTop w:val="134"/>
          <w:marBottom w:val="0"/>
          <w:divBdr>
            <w:top w:val="none" w:sz="0" w:space="0" w:color="auto"/>
            <w:left w:val="none" w:sz="0" w:space="0" w:color="auto"/>
            <w:bottom w:val="none" w:sz="0" w:space="0" w:color="auto"/>
            <w:right w:val="none" w:sz="0" w:space="0" w:color="auto"/>
          </w:divBdr>
        </w:div>
        <w:div w:id="1387484556">
          <w:marLeft w:val="1166"/>
          <w:marRight w:val="0"/>
          <w:marTop w:val="134"/>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6854892">
      <w:bodyDiv w:val="1"/>
      <w:marLeft w:val="0"/>
      <w:marRight w:val="0"/>
      <w:marTop w:val="0"/>
      <w:marBottom w:val="0"/>
      <w:divBdr>
        <w:top w:val="none" w:sz="0" w:space="0" w:color="auto"/>
        <w:left w:val="none" w:sz="0" w:space="0" w:color="auto"/>
        <w:bottom w:val="none" w:sz="0" w:space="0" w:color="auto"/>
        <w:right w:val="none" w:sz="0" w:space="0" w:color="auto"/>
      </w:divBdr>
    </w:div>
    <w:div w:id="2112821824">
      <w:bodyDiv w:val="1"/>
      <w:marLeft w:val="0"/>
      <w:marRight w:val="0"/>
      <w:marTop w:val="0"/>
      <w:marBottom w:val="0"/>
      <w:divBdr>
        <w:top w:val="none" w:sz="0" w:space="0" w:color="auto"/>
        <w:left w:val="none" w:sz="0" w:space="0" w:color="auto"/>
        <w:bottom w:val="none" w:sz="0" w:space="0" w:color="auto"/>
        <w:right w:val="none" w:sz="0" w:space="0" w:color="auto"/>
      </w:divBdr>
      <w:divsChild>
        <w:div w:id="3063196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2280</TotalTime>
  <Pages>1</Pages>
  <Words>442</Words>
  <Characters>2522</Characters>
  <Application>Microsoft Office Word</Application>
  <DocSecurity>0</DocSecurity>
  <Lines>21</Lines>
  <Paragraphs>5</Paragraphs>
  <ScaleCrop>false</ScaleCrop>
  <Company>HUAWEI</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Liuliehai</cp:lastModifiedBy>
  <cp:revision>70</cp:revision>
  <dcterms:created xsi:type="dcterms:W3CDTF">2019-09-18T02:52:00Z</dcterms:created>
  <dcterms:modified xsi:type="dcterms:W3CDTF">2020-05-15T14:56:00Z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(3)4vpYiIjC4bJqeypxZM40KWTkU+FDHw9lRXpT6ETuY/Qu4yXWhXbKwRS3Unb65lrmnQwUj5Sz
KxYz3u6ATP1AU3xSW7vNYyIQs3d/qBbjq91mqhYekTWk46HZG6ixVSFStbgMIpSjWEV6g6pX
hhEKuAqP4Un60/bs5yCejEJ2bP2lu6+N5FVWhkPCksQRmsDmPFexi60ep86N9hd5HsMWbw9y
kUwiztqSz5efdvZwq7</vt:lpwstr>
  </property>
  <property fmtid="{D5CDD505-2E9C-101B-9397-08002B2CF9AE}" pid="3" name="_2015_ms_pID_7253431">
    <vt:lpwstr>mpOlvINBfaB7/uI9bkdZ9jLqza33M3vGru01i10oijvWgJbYXxmwUS
MM6CpkveMXZhfcSXWjkLVcL0WAcsgDT8/oOepcSvNHsZdLi8QM3dh1iJ+ks5D18zuETed+lM
cyEAyfCMc1l6Pg3o9YpKVWyMdDJ7Ia/Aa95qm3SRTtG8oSpnwPJW58Dnp9pWlJGGRKvjOrop
712pH17sEjsLqU8N7b7md/WqC4VRK0JEWgAa</vt:lpwstr>
  </property>
  <property fmtid="{D5CDD505-2E9C-101B-9397-08002B2CF9AE}" pid="4" name="_2015_ms_pID_7253432">
    <vt:lpwstr>uw==</vt:lpwstr>
  </property>
</Properties>
</file>